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D6" w:rsidRPr="00266DDD" w:rsidRDefault="007450D6" w:rsidP="007450D6">
      <w:pPr>
        <w:contextualSpacing w:val="0"/>
        <w:rPr>
          <w:b/>
          <w:bCs/>
          <w:shd w:val="clear" w:color="auto" w:fill="D3D3D3"/>
          <w:lang w:val="ro-RO"/>
        </w:rPr>
      </w:pPr>
      <w:r w:rsidRPr="00266DDD">
        <w:rPr>
          <w:b/>
          <w:bCs/>
          <w:shd w:val="clear" w:color="auto" w:fill="D3D3D3"/>
          <w:lang w:val="ro-RO"/>
        </w:rPr>
        <w:t>Administrația Domeniului Public a început niște lucrări de amenajare în părculețul din spatele blocurilor noastre. Nu știm ce vor să facă acolo și lucrătorii nu ne răspund la întrebări. Ce putem face?</w:t>
      </w:r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Acțiunile de reamenajare ar trebui să aibă panou de informare, de asemenea informații despre proiect ar trebui să găsiți pe site-ul instituției și/sau în Hotărârile de Consiliu Local adoptate în cadrul ședințelor de consiliu (la care puteți participa în baza </w:t>
      </w:r>
      <w:r w:rsidRPr="007558D9">
        <w:rPr>
          <w:b/>
          <w:lang w:val="ro-RO"/>
        </w:rPr>
        <w:t>Legii 52/2003</w:t>
      </w:r>
      <w:r w:rsidRPr="007558D9">
        <w:rPr>
          <w:lang w:val="ro-RO"/>
        </w:rPr>
        <w:t xml:space="preserve"> privind transparența decizională în administrația publică – paginile </w:t>
      </w:r>
      <w:r w:rsidR="00672827">
        <w:rPr>
          <w:lang w:val="ro-RO"/>
        </w:rPr>
        <w:t xml:space="preserve">98-99 din </w:t>
      </w:r>
      <w:hyperlink r:id="rId4" w:history="1">
        <w:r w:rsidR="00672827" w:rsidRPr="00672827">
          <w:rPr>
            <w:rStyle w:val="Hyperlink"/>
            <w:lang w:val="ro-RO"/>
          </w:rPr>
          <w:t>manualul de advocacy</w:t>
        </w:r>
      </w:hyperlink>
      <w:r w:rsidR="00672827">
        <w:rPr>
          <w:lang w:val="ro-RO"/>
        </w:rPr>
        <w:t xml:space="preserve">). </w:t>
      </w:r>
      <w:r w:rsidRPr="007558D9">
        <w:rPr>
          <w:lang w:val="ro-RO"/>
        </w:rPr>
        <w:t xml:space="preserve">Puteți suna, scrie și/sau merge în audiență la Administrația Domeniului Public din cadrul primăriei de care aparține spațiul respectiv  și le puteți cere informații în baza </w:t>
      </w:r>
      <w:hyperlink r:id="rId5" w:history="1">
        <w:r w:rsidRPr="00672827">
          <w:rPr>
            <w:rStyle w:val="Hyperlink"/>
            <w:lang w:val="ro-RO"/>
          </w:rPr>
          <w:t>Legii 544/2001</w:t>
        </w:r>
      </w:hyperlink>
      <w:r w:rsidRPr="007558D9">
        <w:rPr>
          <w:lang w:val="ro-RO"/>
        </w:rPr>
        <w:t xml:space="preserve"> </w:t>
      </w:r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 </w:t>
      </w:r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Dacă se desfășoară lucrări fără existența unui panou care să ofere toate informațiile necesare, puteți sesiza Inspectoratul de Stat în Construcții. </w:t>
      </w:r>
    </w:p>
    <w:p w:rsidR="007450D6" w:rsidRPr="007558D9" w:rsidRDefault="007450D6" w:rsidP="007450D6">
      <w:pPr>
        <w:contextualSpacing w:val="0"/>
        <w:rPr>
          <w:lang w:val="ro-RO"/>
        </w:rPr>
      </w:pPr>
      <w:bookmarkStart w:id="0" w:name="_GoBack"/>
      <w:bookmarkEnd w:id="0"/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O dată ce ați aflat suficiente informații și ați discutat cu cât mai muți vecini, luați legătura cu beneficiarul lucrării (probabil Administrația Domeniului Public/Primăria). Arătați că pentru comunitate e important să fie consultată atunci când se fac astfel de lucrări. Spuneți cum considerați voi că ar trebui să fie amenajat spațiul respectiv, și de ce. </w:t>
      </w:r>
    </w:p>
    <w:p w:rsidR="007450D6" w:rsidRPr="007558D9" w:rsidRDefault="007450D6" w:rsidP="007450D6">
      <w:pPr>
        <w:contextualSpacing w:val="0"/>
        <w:rPr>
          <w:lang w:val="ro-RO"/>
        </w:rPr>
      </w:pPr>
    </w:p>
    <w:p w:rsidR="007450D6" w:rsidRPr="007558D9" w:rsidRDefault="007450D6" w:rsidP="007450D6">
      <w:pPr>
        <w:contextualSpacing w:val="0"/>
        <w:rPr>
          <w:lang w:val="ro-RO"/>
        </w:rPr>
      </w:pPr>
      <w:r w:rsidRPr="007558D9">
        <w:rPr>
          <w:lang w:val="ro-RO"/>
        </w:rPr>
        <w:t xml:space="preserve">Există o serie de reglementări care stabilesc regulile pe baza cărora se poate interveni în spațiul public, inclusiv reguli de consultare a cetățenilor din zonă. Găsiți </w:t>
      </w:r>
      <w:hyperlink r:id="rId6" w:history="1">
        <w:r w:rsidRPr="007558D9">
          <w:rPr>
            <w:color w:val="1155CC"/>
            <w:u w:val="single"/>
            <w:lang w:val="ro-RO"/>
          </w:rPr>
          <w:t>aici</w:t>
        </w:r>
      </w:hyperlink>
      <w:r w:rsidRPr="007558D9">
        <w:rPr>
          <w:lang w:val="ro-RO"/>
        </w:rPr>
        <w:t xml:space="preserve"> mai multe informații.</w:t>
      </w:r>
    </w:p>
    <w:p w:rsidR="00035DE3" w:rsidRDefault="00672827"/>
    <w:sectPr w:rsidR="00035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6"/>
    <w:rsid w:val="002807A1"/>
    <w:rsid w:val="00672827"/>
    <w:rsid w:val="007450D6"/>
    <w:rsid w:val="00B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B8E8-5C5F-40DA-BD83-99ACB2E5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0D6"/>
    <w:pPr>
      <w:spacing w:after="0" w:line="276" w:lineRule="auto"/>
      <w:contextualSpacing/>
    </w:pPr>
    <w:rPr>
      <w:rFonts w:ascii="Arial" w:eastAsia="Arial" w:hAnsi="Arial" w:cs="Arial"/>
      <w:lang w:val="en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re.ong/wp-content/uploads/2018/02/Ghid_Cetateni_CERE_Civica-Compressed-2.pdf" TargetMode="External"/><Relationship Id="rId5" Type="http://schemas.openxmlformats.org/officeDocument/2006/relationships/hyperlink" Target="https://bit.ly/2NUVgtG" TargetMode="External"/><Relationship Id="rId4" Type="http://schemas.openxmlformats.org/officeDocument/2006/relationships/hyperlink" Target="http://cere.ong/wp-content/uploads/2018/02/Manual_advoca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2018-08-21T13:47:00Z</dcterms:created>
  <dcterms:modified xsi:type="dcterms:W3CDTF">2018-08-21T14:35:00Z</dcterms:modified>
</cp:coreProperties>
</file>