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8E" w:rsidRPr="007558D9" w:rsidRDefault="0078448E" w:rsidP="0078448E">
      <w:pPr>
        <w:contextualSpacing w:val="0"/>
        <w:rPr>
          <w:b/>
          <w:shd w:val="clear" w:color="auto" w:fill="D3D3D3"/>
          <w:lang w:val="ro-RO"/>
        </w:rPr>
      </w:pPr>
      <w:r w:rsidRPr="007558D9">
        <w:rPr>
          <w:b/>
          <w:shd w:val="clear" w:color="auto" w:fill="D3D3D3"/>
          <w:lang w:val="ro-RO"/>
        </w:rPr>
        <w:t>Cum se poate schimba o lege?</w:t>
      </w:r>
    </w:p>
    <w:p w:rsidR="0078448E" w:rsidRPr="007558D9" w:rsidRDefault="0078448E" w:rsidP="0078448E">
      <w:pPr>
        <w:contextualSpacing w:val="0"/>
        <w:rPr>
          <w:lang w:val="ro-RO"/>
        </w:rPr>
      </w:pPr>
      <w:r w:rsidRPr="007558D9">
        <w:rPr>
          <w:lang w:val="ro-RO"/>
        </w:rPr>
        <w:t>Modificarea unei legi se face printr-o altă lege (ex. Lege pentru modificarea Legii xxx). În linii mari, pașii sunt următorii:</w:t>
      </w:r>
    </w:p>
    <w:p w:rsidR="0078448E" w:rsidRPr="007558D9" w:rsidRDefault="0078448E" w:rsidP="0078448E">
      <w:pPr>
        <w:ind w:left="360"/>
        <w:contextualSpacing w:val="0"/>
        <w:rPr>
          <w:lang w:val="ro-RO"/>
        </w:rPr>
      </w:pPr>
      <w:r w:rsidRPr="007558D9">
        <w:rPr>
          <w:lang w:val="ro-RO"/>
        </w:rPr>
        <w:t>1)      Un proiect de lege (fie că e o lege nouă, fie că e un proiect pentru modificarea altei legi) poate să fie inițiat de unul sau mai multi senatori și/sau deputați sau de guvern). O altă cale este inițiativa legislativă cetățenească.</w:t>
      </w:r>
    </w:p>
    <w:p w:rsidR="0078448E" w:rsidRPr="007558D9" w:rsidRDefault="0078448E" w:rsidP="0078448E">
      <w:pPr>
        <w:ind w:left="360"/>
        <w:contextualSpacing w:val="0"/>
        <w:rPr>
          <w:lang w:val="ro-RO"/>
        </w:rPr>
      </w:pPr>
      <w:r w:rsidRPr="007558D9">
        <w:rPr>
          <w:lang w:val="ro-RO"/>
        </w:rPr>
        <w:t>2)      Proiectul se depune la Senat sau la Camera Deputaților (în funcție de tipul de lege). După ce proiectul este dezbătut (și votat sau aprobat tacit) în prima cameră, merge în cea de-a doua. Camera decizională (care are ultimul cuvânt) este cea de-a doua cameră.</w:t>
      </w:r>
    </w:p>
    <w:p w:rsidR="0078448E" w:rsidRPr="007558D9" w:rsidRDefault="0078448E" w:rsidP="0078448E">
      <w:pPr>
        <w:ind w:left="360"/>
        <w:contextualSpacing w:val="0"/>
        <w:rPr>
          <w:lang w:val="ro-RO"/>
        </w:rPr>
      </w:pPr>
      <w:r w:rsidRPr="007558D9">
        <w:rPr>
          <w:lang w:val="ro-RO"/>
        </w:rPr>
        <w:t>3)      Proiectul de modificare a legii ajunge în una sau mai multe comisii de specialitate (în funcție de domeniul de activitate în care se aplică Legea) unde primește aviz sau raport de specialitate. Tot în această perioadă se trimite la guvern pentru avizare. Aceste avize sunt consultative, dar destul de importante.</w:t>
      </w:r>
    </w:p>
    <w:p w:rsidR="0078448E" w:rsidRPr="007558D9" w:rsidRDefault="0078448E" w:rsidP="0078448E">
      <w:pPr>
        <w:ind w:left="360"/>
        <w:contextualSpacing w:val="0"/>
        <w:rPr>
          <w:lang w:val="ro-RO"/>
        </w:rPr>
      </w:pPr>
      <w:r w:rsidRPr="007558D9">
        <w:rPr>
          <w:lang w:val="ro-RO"/>
        </w:rPr>
        <w:t>4)      După avizare, proiectul de lege este votat în plenul camerei respective. În cazul în care Senatul este prima cameră, dacă nu sunt îndeplinite anumite termene, proiectul de lege poate trece prin „aprobare tacită”.</w:t>
      </w:r>
    </w:p>
    <w:p w:rsidR="0078448E" w:rsidRPr="007558D9" w:rsidRDefault="0078448E" w:rsidP="0078448E">
      <w:pPr>
        <w:ind w:left="360"/>
        <w:contextualSpacing w:val="0"/>
        <w:rPr>
          <w:lang w:val="ro-RO"/>
        </w:rPr>
      </w:pPr>
      <w:r w:rsidRPr="007558D9">
        <w:rPr>
          <w:lang w:val="ro-RO"/>
        </w:rPr>
        <w:t>5)      În cea de-a doua cameră, proiectul de lege parcurge același proces: comisii, apoi vot în plen.</w:t>
      </w:r>
    </w:p>
    <w:p w:rsidR="0078448E" w:rsidRPr="007558D9" w:rsidRDefault="0078448E" w:rsidP="0078448E">
      <w:pPr>
        <w:contextualSpacing w:val="0"/>
        <w:rPr>
          <w:lang w:val="ro-RO"/>
        </w:rPr>
      </w:pPr>
      <w:r w:rsidRPr="007558D9">
        <w:rPr>
          <w:lang w:val="ro-RO"/>
        </w:rPr>
        <w:t>Dacă proiectul de lege este adoptat, este trimis președintelui pentru promulgare și devine lege.</w:t>
      </w:r>
    </w:p>
    <w:p w:rsidR="0078448E" w:rsidRPr="007558D9" w:rsidRDefault="0078448E" w:rsidP="0078448E">
      <w:pPr>
        <w:contextualSpacing w:val="0"/>
        <w:rPr>
          <w:lang w:val="ro-RO"/>
        </w:rPr>
      </w:pPr>
      <w:r w:rsidRPr="007558D9">
        <w:rPr>
          <w:lang w:val="ro-RO"/>
        </w:rPr>
        <w:t xml:space="preserve"> </w:t>
      </w:r>
    </w:p>
    <w:p w:rsidR="0078448E" w:rsidRPr="007558D9" w:rsidRDefault="0078448E" w:rsidP="0078448E">
      <w:pPr>
        <w:contextualSpacing w:val="0"/>
        <w:rPr>
          <w:lang w:val="ro-RO"/>
        </w:rPr>
      </w:pPr>
      <w:r w:rsidRPr="007558D9">
        <w:rPr>
          <w:lang w:val="ro-RO"/>
        </w:rPr>
        <w:t>Practic, orice campanie de advocacy care dorește modificarea unei legi trebuie să urmărească acest parcurs legislativ. Asta înseamnă:</w:t>
      </w:r>
    </w:p>
    <w:p w:rsidR="0078448E" w:rsidRPr="007558D9" w:rsidRDefault="0078448E" w:rsidP="0078448E">
      <w:pPr>
        <w:ind w:left="720" w:hanging="360"/>
        <w:contextualSpacing w:val="0"/>
        <w:rPr>
          <w:lang w:val="ro-RO"/>
        </w:rPr>
      </w:pPr>
      <w:r w:rsidRPr="007558D9">
        <w:rPr>
          <w:lang w:val="ro-RO"/>
        </w:rPr>
        <w:t>-          identificarea unuia sau mai multor parlamentari dispuși să își asume inițierea unui proiect de lege pentru modificarea Legii respective;</w:t>
      </w:r>
    </w:p>
    <w:p w:rsidR="0078448E" w:rsidRPr="007558D9" w:rsidRDefault="0078448E" w:rsidP="0078448E">
      <w:pPr>
        <w:ind w:left="720" w:hanging="360"/>
        <w:contextualSpacing w:val="0"/>
        <w:rPr>
          <w:lang w:val="ro-RO"/>
        </w:rPr>
      </w:pPr>
      <w:r w:rsidRPr="007558D9">
        <w:rPr>
          <w:lang w:val="ro-RO"/>
        </w:rPr>
        <w:t>-          susținerea proiectului în comisiile de specialitate (fie în scris, fie prin participarea efectivă la lucrările comisiilor, fie ambele)</w:t>
      </w:r>
    </w:p>
    <w:p w:rsidR="0078448E" w:rsidRPr="007558D9" w:rsidRDefault="0078448E" w:rsidP="0078448E">
      <w:pPr>
        <w:ind w:left="720" w:hanging="360"/>
        <w:contextualSpacing w:val="0"/>
        <w:rPr>
          <w:lang w:val="ro-RO"/>
        </w:rPr>
      </w:pPr>
      <w:r w:rsidRPr="007558D9">
        <w:rPr>
          <w:lang w:val="ro-RO"/>
        </w:rPr>
        <w:t>-          susținerea proiectului înainte de votul plenului (scrisori către deputați/senatori, poate întâlniri cu parlamentari influenți).</w:t>
      </w:r>
    </w:p>
    <w:p w:rsidR="0078448E" w:rsidRPr="007558D9" w:rsidRDefault="0078448E" w:rsidP="0078448E">
      <w:pPr>
        <w:contextualSpacing w:val="0"/>
        <w:rPr>
          <w:lang w:val="ro-RO"/>
        </w:rPr>
      </w:pPr>
      <w:r w:rsidRPr="007558D9">
        <w:rPr>
          <w:lang w:val="ro-RO"/>
        </w:rPr>
        <w:t>În plus, pot fi utile acțiuni care să aducă subiectul în atenția publicului, care sa arate ce beneficii aduce schimbarea propusă și ce probleme rezolvă, etc.</w:t>
      </w:r>
    </w:p>
    <w:p w:rsidR="0078448E" w:rsidRPr="007558D9" w:rsidRDefault="0078448E" w:rsidP="0078448E">
      <w:pPr>
        <w:contextualSpacing w:val="0"/>
        <w:rPr>
          <w:color w:val="1155CC"/>
          <w:u w:val="single"/>
          <w:lang w:val="ro-RO"/>
        </w:rPr>
      </w:pPr>
      <w:r w:rsidRPr="007558D9">
        <w:rPr>
          <w:lang w:val="ro-RO"/>
        </w:rPr>
        <w:t>Găsiți gasiti mai multe informații, inclusiv o descriere mai detaliată a procesului legislativ în</w:t>
      </w:r>
      <w:hyperlink r:id="rId4">
        <w:r w:rsidRPr="007558D9">
          <w:rPr>
            <w:lang w:val="ro-RO"/>
          </w:rPr>
          <w:t xml:space="preserve"> </w:t>
        </w:r>
      </w:hyperlink>
      <w:r w:rsidRPr="007558D9">
        <w:rPr>
          <w:lang w:val="ro-RO"/>
        </w:rPr>
        <w:fldChar w:fldCharType="begin"/>
      </w:r>
      <w:r w:rsidRPr="007558D9">
        <w:rPr>
          <w:lang w:val="ro-RO"/>
        </w:rPr>
        <w:instrText xml:space="preserve"> HYPERLINK "http://cere.ong/wp-content/uploads/2018/02/Manual_advocacy.pdf" </w:instrText>
      </w:r>
      <w:r w:rsidRPr="007558D9">
        <w:rPr>
          <w:lang w:val="ro-RO"/>
        </w:rPr>
        <w:fldChar w:fldCharType="separate"/>
      </w:r>
      <w:r w:rsidRPr="007558D9">
        <w:rPr>
          <w:color w:val="1155CC"/>
          <w:u w:val="single"/>
          <w:lang w:val="ro-RO"/>
        </w:rPr>
        <w:t>Manualul nostru de advocacy.</w:t>
      </w:r>
    </w:p>
    <w:p w:rsidR="0078448E" w:rsidRPr="007558D9" w:rsidRDefault="0078448E" w:rsidP="0078448E">
      <w:pPr>
        <w:contextualSpacing w:val="0"/>
        <w:rPr>
          <w:lang w:val="ro-RO"/>
        </w:rPr>
      </w:pPr>
      <w:r w:rsidRPr="007558D9">
        <w:rPr>
          <w:lang w:val="ro-RO"/>
        </w:rPr>
        <w:fldChar w:fldCharType="end"/>
      </w:r>
      <w:r w:rsidRPr="007558D9">
        <w:rPr>
          <w:lang w:val="ro-RO"/>
        </w:rPr>
        <w:t>Pentru inițiativa legislativă cetățenească, puteți studia această</w:t>
      </w:r>
      <w:hyperlink r:id="rId5">
        <w:r w:rsidRPr="007558D9">
          <w:rPr>
            <w:lang w:val="ro-RO"/>
          </w:rPr>
          <w:t xml:space="preserve"> </w:t>
        </w:r>
      </w:hyperlink>
      <w:hyperlink r:id="rId6">
        <w:r w:rsidRPr="007558D9">
          <w:rPr>
            <w:color w:val="1155CC"/>
            <w:u w:val="single"/>
            <w:lang w:val="ro-RO"/>
          </w:rPr>
          <w:t>lege</w:t>
        </w:r>
      </w:hyperlink>
      <w:r w:rsidRPr="007558D9">
        <w:rPr>
          <w:lang w:val="ro-RO"/>
        </w:rPr>
        <w:t>. Ulterior inițierii, proiectul parcurge același traseu ca mai sus.</w:t>
      </w:r>
    </w:p>
    <w:p w:rsidR="0078448E" w:rsidRPr="007558D9" w:rsidRDefault="0078448E" w:rsidP="0078448E">
      <w:pPr>
        <w:contextualSpacing w:val="0"/>
        <w:rPr>
          <w:b/>
          <w:lang w:val="ro-RO"/>
        </w:rPr>
      </w:pPr>
    </w:p>
    <w:p w:rsidR="0078448E" w:rsidRPr="007558D9" w:rsidRDefault="0078448E" w:rsidP="0078448E">
      <w:pPr>
        <w:contextualSpacing w:val="0"/>
        <w:rPr>
          <w:b/>
          <w:lang w:val="ro-RO"/>
        </w:rPr>
      </w:pPr>
    </w:p>
    <w:p w:rsidR="00035DE3" w:rsidRDefault="0078448E">
      <w:bookmarkStart w:id="0" w:name="_GoBack"/>
      <w:bookmarkEnd w:id="0"/>
    </w:p>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FF"/>
    <w:rsid w:val="002807A1"/>
    <w:rsid w:val="00293DFF"/>
    <w:rsid w:val="0078448E"/>
    <w:rsid w:val="00B6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C825-6CCC-4469-B789-9457C9C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448E"/>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153248" TargetMode="External"/><Relationship Id="rId5" Type="http://schemas.openxmlformats.org/officeDocument/2006/relationships/hyperlink" Target="http://legislatie.just.ro/Public/DetaliiDocument/153248" TargetMode="External"/><Relationship Id="rId4" Type="http://schemas.openxmlformats.org/officeDocument/2006/relationships/hyperlink" Target="http://cere.ong/wp-content/uploads/2018/02/Manual_advoc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2018-08-21T13:39:00Z</dcterms:created>
  <dcterms:modified xsi:type="dcterms:W3CDTF">2018-08-21T13:41:00Z</dcterms:modified>
</cp:coreProperties>
</file>